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AA8D3" w14:textId="6CDC69F9" w:rsidR="00D777A1" w:rsidRPr="005C09CE" w:rsidRDefault="005C09CE" w:rsidP="005C09CE">
      <w:pPr>
        <w:pStyle w:val="11"/>
        <w:jc w:val="center"/>
        <w:rPr>
          <w:b/>
          <w:bCs/>
          <w:sz w:val="32"/>
          <w:szCs w:val="32"/>
          <w:lang w:eastAsia="ru-RU"/>
        </w:rPr>
      </w:pPr>
      <w:r w:rsidRPr="005C09CE">
        <w:rPr>
          <w:b/>
          <w:bCs/>
          <w:sz w:val="28"/>
          <w:szCs w:val="28"/>
          <w:lang w:eastAsia="ru-RU"/>
        </w:rPr>
        <w:t>Бревно-балансир тройное</w:t>
      </w:r>
    </w:p>
    <w:p w14:paraId="6EE9EAE5" w14:textId="1EE53FEA" w:rsidR="00D777A1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EEC7A" w14:textId="1AC657EF" w:rsidR="00D777A1" w:rsidRPr="00D777A1" w:rsidRDefault="00D777A1" w:rsidP="00D777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7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Внешний вид изделия:</w:t>
      </w:r>
    </w:p>
    <w:p w14:paraId="26D2B9BF" w14:textId="764B6DC8" w:rsidR="00D777A1" w:rsidRDefault="005C09CE" w:rsidP="00D777A1">
      <w:pPr>
        <w:jc w:val="center"/>
      </w:pPr>
      <w:r w:rsidRPr="005C09CE">
        <w:drawing>
          <wp:inline distT="0" distB="0" distL="0" distR="0" wp14:anchorId="46BF8B57" wp14:editId="44E34A78">
            <wp:extent cx="3175000" cy="1104556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6055" cy="11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A1287" w14:textId="2CA9C049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>Габаритные размеры (</w:t>
      </w:r>
      <w:proofErr w:type="spellStart"/>
      <w:r w:rsidRPr="007A2080">
        <w:rPr>
          <w:rFonts w:ascii="Times New Roman" w:eastAsia="Times New Roman" w:hAnsi="Times New Roman" w:cs="Times New Roman"/>
          <w:bCs/>
          <w:lang w:eastAsia="ru-RU"/>
        </w:rPr>
        <w:t>ДхШхВ</w:t>
      </w:r>
      <w:proofErr w:type="spellEnd"/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): </w:t>
      </w:r>
      <w:r w:rsidR="005C09CE">
        <w:rPr>
          <w:rFonts w:ascii="Times New Roman" w:eastAsia="Times New Roman" w:hAnsi="Times New Roman" w:cs="Times New Roman"/>
          <w:bCs/>
          <w:lang w:eastAsia="ru-RU"/>
        </w:rPr>
        <w:t>751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>0х</w:t>
      </w:r>
      <w:r w:rsidR="005C09CE">
        <w:rPr>
          <w:rFonts w:ascii="Times New Roman" w:eastAsia="Times New Roman" w:hAnsi="Times New Roman" w:cs="Times New Roman"/>
          <w:bCs/>
          <w:lang w:eastAsia="ru-RU"/>
        </w:rPr>
        <w:t>231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>0х</w:t>
      </w:r>
      <w:r w:rsidR="005C09CE">
        <w:rPr>
          <w:rFonts w:ascii="Times New Roman" w:eastAsia="Times New Roman" w:hAnsi="Times New Roman" w:cs="Times New Roman"/>
          <w:bCs/>
          <w:lang w:eastAsia="ru-RU"/>
        </w:rPr>
        <w:t>61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>0 мм</w:t>
      </w:r>
    </w:p>
    <w:p w14:paraId="692B1F93" w14:textId="5ECDD8CC" w:rsidR="00D777A1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Размер зоны безопасности: </w:t>
      </w:r>
      <w:r w:rsidR="005C09CE">
        <w:rPr>
          <w:rFonts w:ascii="Times New Roman" w:eastAsia="Times New Roman" w:hAnsi="Times New Roman" w:cs="Times New Roman"/>
          <w:bCs/>
          <w:lang w:eastAsia="ru-RU"/>
        </w:rPr>
        <w:t>951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>0х</w:t>
      </w:r>
      <w:r w:rsidR="005C09CE">
        <w:rPr>
          <w:rFonts w:ascii="Times New Roman" w:eastAsia="Times New Roman" w:hAnsi="Times New Roman" w:cs="Times New Roman"/>
          <w:bCs/>
          <w:lang w:eastAsia="ru-RU"/>
        </w:rPr>
        <w:t>431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>0 мм</w:t>
      </w:r>
    </w:p>
    <w:p w14:paraId="5BF3273A" w14:textId="215FABFD" w:rsidR="005C09CE" w:rsidRPr="007A2080" w:rsidRDefault="005C09CE" w:rsidP="005C09CE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Размер зоны приземления: </w:t>
      </w:r>
      <w:r>
        <w:rPr>
          <w:rFonts w:ascii="Times New Roman" w:eastAsia="Times New Roman" w:hAnsi="Times New Roman" w:cs="Times New Roman"/>
          <w:bCs/>
          <w:lang w:eastAsia="ru-RU"/>
        </w:rPr>
        <w:t>1051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>0х</w:t>
      </w:r>
      <w:r>
        <w:rPr>
          <w:rFonts w:ascii="Times New Roman" w:eastAsia="Times New Roman" w:hAnsi="Times New Roman" w:cs="Times New Roman"/>
          <w:bCs/>
          <w:lang w:eastAsia="ru-RU"/>
        </w:rPr>
        <w:t>531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>0 мм</w:t>
      </w:r>
    </w:p>
    <w:p w14:paraId="2E4D2A86" w14:textId="0121DA48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Высота падения: </w:t>
      </w:r>
      <w:r w:rsidR="005C09CE">
        <w:rPr>
          <w:rFonts w:ascii="Times New Roman" w:eastAsia="Times New Roman" w:hAnsi="Times New Roman" w:cs="Times New Roman"/>
          <w:bCs/>
          <w:lang w:eastAsia="ru-RU"/>
        </w:rPr>
        <w:t>61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>0 мм</w:t>
      </w:r>
    </w:p>
    <w:p w14:paraId="71F869CC" w14:textId="755F2E25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Возрастные ограничения:  </w:t>
      </w:r>
      <w:r w:rsidR="005C09CE">
        <w:rPr>
          <w:rFonts w:ascii="Times New Roman" w:eastAsia="Times New Roman" w:hAnsi="Times New Roman" w:cs="Times New Roman"/>
          <w:bCs/>
          <w:lang w:eastAsia="ru-RU"/>
        </w:rPr>
        <w:t>от 5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 лет</w:t>
      </w:r>
    </w:p>
    <w:p w14:paraId="66366CB7" w14:textId="503ED3C6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>Срок гарантии завода: 12 месяцев</w:t>
      </w:r>
    </w:p>
    <w:p w14:paraId="07FB3154" w14:textId="0419AE21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Срок эксплуатации: </w:t>
      </w:r>
      <w:r w:rsidR="005C09CE">
        <w:rPr>
          <w:rFonts w:ascii="Times New Roman" w:eastAsia="Times New Roman" w:hAnsi="Times New Roman" w:cs="Times New Roman"/>
          <w:bCs/>
          <w:lang w:eastAsia="ru-RU"/>
        </w:rPr>
        <w:t>15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 лет</w:t>
      </w:r>
    </w:p>
    <w:p w14:paraId="694A7EC4" w14:textId="298FA386" w:rsidR="00D318B2" w:rsidRPr="007A2080" w:rsidRDefault="00D318B2" w:rsidP="00D318B2">
      <w:pPr>
        <w:pStyle w:val="a5"/>
        <w:jc w:val="both"/>
        <w:rPr>
          <w:rFonts w:ascii="Times New Roman" w:hAnsi="Times New Roman" w:cs="Times New Roman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Оборудование имеет сертификат соответствия по </w:t>
      </w:r>
      <w:r w:rsidRPr="007A2080">
        <w:rPr>
          <w:rFonts w:ascii="Times New Roman" w:hAnsi="Times New Roman" w:cs="Times New Roman"/>
        </w:rPr>
        <w:t>Техническому регламенту Таможенного союза (ТР ТС) 042/2017 «О безопасности оборудования для детских игровых площадок».</w:t>
      </w:r>
    </w:p>
    <w:p w14:paraId="3B7A58B7" w14:textId="7F8290F7" w:rsidR="005C09CE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Ссылка на сайт</w:t>
      </w:r>
      <w:r w:rsidR="005C09CE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5" w:history="1">
        <w:r w:rsidR="005C09CE" w:rsidRPr="00CD0166">
          <w:rPr>
            <w:rStyle w:val="a3"/>
            <w:rFonts w:ascii="Times New Roman" w:eastAsia="Times New Roman" w:hAnsi="Times New Roman" w:cs="Times New Roman"/>
            <w:lang w:eastAsia="ru-RU"/>
          </w:rPr>
          <w:t>https://lastochka-lip.com/catalog/brevno-balansir-trojnoe/</w:t>
        </w:r>
      </w:hyperlink>
    </w:p>
    <w:p w14:paraId="4EBC7B29" w14:textId="77777777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955CA7" w14:textId="5BC65969" w:rsidR="00D777A1" w:rsidRPr="007A2080" w:rsidRDefault="00D777A1" w:rsidP="00D3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 xml:space="preserve">Комплектация: деревянные опоры – </w:t>
      </w:r>
      <w:r w:rsidR="00201E75">
        <w:rPr>
          <w:rFonts w:ascii="Times New Roman" w:eastAsia="Times New Roman" w:hAnsi="Times New Roman" w:cs="Times New Roman"/>
          <w:lang w:eastAsia="ru-RU"/>
        </w:rPr>
        <w:t>4</w:t>
      </w:r>
      <w:r w:rsidRPr="007A2080">
        <w:rPr>
          <w:rFonts w:ascii="Times New Roman" w:eastAsia="Times New Roman" w:hAnsi="Times New Roman" w:cs="Times New Roman"/>
          <w:lang w:eastAsia="ru-RU"/>
        </w:rPr>
        <w:t xml:space="preserve"> шт., </w:t>
      </w:r>
      <w:r w:rsidR="00201E75">
        <w:rPr>
          <w:rFonts w:ascii="Times New Roman" w:eastAsia="Times New Roman" w:hAnsi="Times New Roman" w:cs="Times New Roman"/>
          <w:lang w:eastAsia="ru-RU"/>
        </w:rPr>
        <w:t>бревно</w:t>
      </w:r>
      <w:r w:rsidRPr="007A2080"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201E75">
        <w:rPr>
          <w:rFonts w:ascii="Times New Roman" w:eastAsia="Times New Roman" w:hAnsi="Times New Roman" w:cs="Times New Roman"/>
          <w:lang w:eastAsia="ru-RU"/>
        </w:rPr>
        <w:t>3</w:t>
      </w:r>
      <w:r w:rsidRPr="007A2080">
        <w:rPr>
          <w:rFonts w:ascii="Times New Roman" w:eastAsia="Times New Roman" w:hAnsi="Times New Roman" w:cs="Times New Roman"/>
          <w:lang w:eastAsia="ru-RU"/>
        </w:rPr>
        <w:t xml:space="preserve"> шт. </w:t>
      </w:r>
    </w:p>
    <w:p w14:paraId="08247E89" w14:textId="77777777" w:rsidR="00B7616F" w:rsidRPr="007A2080" w:rsidRDefault="00B7616F" w:rsidP="00D77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42A375" w14:textId="54757B2D" w:rsidR="00D777A1" w:rsidRPr="007A2080" w:rsidRDefault="00D777A1" w:rsidP="00D3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Все деревянные элементы изделия изготовлены из дерева робинии (псевдоакации) с физико-механическими свойствами: дерево твердых пород, заболонь узкая, светло-желтого цвета; ядро однородное, высокой плотности; древесина прочная и вязкая, с очень высокой износостойкостью;</w:t>
      </w:r>
      <w:r w:rsidR="00B7616F" w:rsidRPr="007A208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A2080">
        <w:rPr>
          <w:rFonts w:ascii="Times New Roman" w:eastAsia="Times New Roman" w:hAnsi="Times New Roman" w:cs="Times New Roman"/>
          <w:lang w:eastAsia="ru-RU"/>
        </w:rPr>
        <w:t>очень хорошо сопротивляется гнили и насекомым-вредителям</w:t>
      </w:r>
      <w:r w:rsidR="00B7616F" w:rsidRPr="007A2080">
        <w:rPr>
          <w:rFonts w:ascii="Times New Roman" w:eastAsia="Times New Roman" w:hAnsi="Times New Roman" w:cs="Times New Roman"/>
          <w:lang w:eastAsia="ru-RU"/>
        </w:rPr>
        <w:t>.</w:t>
      </w:r>
    </w:p>
    <w:p w14:paraId="3A03610A" w14:textId="042EF337" w:rsidR="00B7616F" w:rsidRPr="007A2080" w:rsidRDefault="00B7616F" w:rsidP="00D3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 xml:space="preserve">Деревянные опоры диаметром </w:t>
      </w:r>
      <w:r w:rsidR="00201E75">
        <w:rPr>
          <w:rFonts w:ascii="Times New Roman" w:eastAsia="Times New Roman" w:hAnsi="Times New Roman" w:cs="Times New Roman"/>
          <w:lang w:eastAsia="ru-RU"/>
        </w:rPr>
        <w:t>от 140</w:t>
      </w:r>
      <w:r w:rsidRPr="007A2080">
        <w:rPr>
          <w:rFonts w:ascii="Times New Roman" w:eastAsia="Times New Roman" w:hAnsi="Times New Roman" w:cs="Times New Roman"/>
          <w:lang w:eastAsia="ru-RU"/>
        </w:rPr>
        <w:t xml:space="preserve"> мм. </w:t>
      </w:r>
      <w:r w:rsidR="00201E75">
        <w:rPr>
          <w:rFonts w:ascii="Times New Roman" w:eastAsia="Times New Roman" w:hAnsi="Times New Roman" w:cs="Times New Roman"/>
          <w:lang w:eastAsia="ru-RU"/>
        </w:rPr>
        <w:t xml:space="preserve">Глубина бетонирования в грунт 900-1000 мм. Бревно диаметром от 140 мм. </w:t>
      </w:r>
      <w:r w:rsidR="00201E75" w:rsidRPr="007A2080">
        <w:rPr>
          <w:rFonts w:ascii="Times New Roman" w:eastAsia="Times New Roman" w:hAnsi="Times New Roman" w:cs="Times New Roman"/>
          <w:lang w:eastAsia="ru-RU"/>
        </w:rPr>
        <w:t>Тщательно отшлифованы, не имеют сколов. Поверхность гладкая, безопасная.</w:t>
      </w:r>
      <w:r w:rsidR="00201E75">
        <w:rPr>
          <w:rFonts w:ascii="Times New Roman" w:eastAsia="Times New Roman" w:hAnsi="Times New Roman" w:cs="Times New Roman"/>
          <w:lang w:eastAsia="ru-RU"/>
        </w:rPr>
        <w:t xml:space="preserve"> Бревно крепятся к опоре при помощи двух шурупов-глухаря М10. Среднее бревно крепится к крайним при помощи усиленной шпильки М16, гайки со стоп кольцом. Отверстия закрыты пластиковой заглушкой. </w:t>
      </w:r>
    </w:p>
    <w:p w14:paraId="7BCF3113" w14:textId="6360EA02" w:rsidR="00354D30" w:rsidRPr="007A2080" w:rsidRDefault="00B7616F" w:rsidP="00354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Все деревянные поверхности п</w:t>
      </w:r>
      <w:r w:rsidR="00D318B2" w:rsidRPr="007A2080">
        <w:rPr>
          <w:rFonts w:ascii="Times New Roman" w:eastAsia="Times New Roman" w:hAnsi="Times New Roman" w:cs="Times New Roman"/>
          <w:lang w:eastAsia="ru-RU"/>
        </w:rPr>
        <w:t xml:space="preserve">ропитаны </w:t>
      </w:r>
      <w:r w:rsidRPr="007A2080">
        <w:rPr>
          <w:rFonts w:ascii="Times New Roman" w:hAnsi="Times New Roman" w:cs="Times New Roman"/>
        </w:rPr>
        <w:t>в два слоя лессирующим антисептико</w:t>
      </w:r>
      <w:r w:rsidR="00D318B2" w:rsidRPr="007A2080">
        <w:rPr>
          <w:rFonts w:ascii="Times New Roman" w:hAnsi="Times New Roman" w:cs="Times New Roman"/>
        </w:rPr>
        <w:t xml:space="preserve">м, обладающий тройной защитой от: уф-излучения, влаги, биопоражения. Покрытие не трескается и не шелушится со временем, движется вместе с древесиной при ее расширении и сжатии, не запечатывает поры дерева, позволяя ему «дышать», что предотвращает гниение изнутри, красиво подчеркивает текстуру древесины. </w:t>
      </w:r>
    </w:p>
    <w:p w14:paraId="7A134620" w14:textId="62565382" w:rsidR="006E36C4" w:rsidRPr="007A2080" w:rsidRDefault="006E36C4" w:rsidP="007A2080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Оборудование </w:t>
      </w:r>
      <w:r w:rsidR="007A2080" w:rsidRPr="007A2080">
        <w:rPr>
          <w:rFonts w:ascii="Times New Roman" w:hAnsi="Times New Roman" w:cs="Times New Roman"/>
        </w:rPr>
        <w:t>соответствует</w:t>
      </w:r>
      <w:r w:rsidRPr="007A2080">
        <w:rPr>
          <w:rFonts w:ascii="Times New Roman" w:hAnsi="Times New Roman" w:cs="Times New Roman"/>
        </w:rPr>
        <w:t>:</w:t>
      </w:r>
    </w:p>
    <w:p w14:paraId="5B6EB0A2" w14:textId="1CDCD3A7" w:rsidR="006E36C4" w:rsidRPr="007A2080" w:rsidRDefault="006E36C4" w:rsidP="007A2080">
      <w:pPr>
        <w:pStyle w:val="a5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>ГОСТ Р 52301-2013 Оборудование и покрытия детских игровых площадок. Безопасность при эксплуатации. Общие требования;</w:t>
      </w:r>
    </w:p>
    <w:p w14:paraId="407B25D2" w14:textId="308E4E7A" w:rsidR="006E36C4" w:rsidRPr="007A2080" w:rsidRDefault="006E36C4" w:rsidP="007A2080">
      <w:pPr>
        <w:pStyle w:val="a5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>ГОСТ Р 52169-2012 «Оборудование и покрытия детских игровых площадок. Безопасность конструкции и методы испытаний. Общие требования»;</w:t>
      </w:r>
    </w:p>
    <w:p w14:paraId="4F66C381" w14:textId="56F63C70" w:rsidR="006E36C4" w:rsidRPr="007A2080" w:rsidRDefault="006E36C4" w:rsidP="007A2080">
      <w:pPr>
        <w:pStyle w:val="a5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>Элементы оборудования из древесины, от которых зависит прочность оборудования, в случае постоянного контакта с грунтом предохраняют методами химической защиты древесины от биологических агентов в соответствии с ГОСТ 20022.0 и ГОСТ 20022.2;</w:t>
      </w:r>
    </w:p>
    <w:p w14:paraId="75008EC4" w14:textId="06E74452" w:rsidR="007A2080" w:rsidRPr="007A2080" w:rsidRDefault="007A2080" w:rsidP="007A2080">
      <w:pPr>
        <w:pStyle w:val="a5"/>
        <w:jc w:val="both"/>
        <w:rPr>
          <w:rFonts w:ascii="Times New Roman" w:eastAsia="Calibri" w:hAnsi="Times New Roman" w:cs="Times New Roman"/>
        </w:rPr>
      </w:pPr>
      <w:r w:rsidRPr="007A2080">
        <w:rPr>
          <w:rFonts w:ascii="Times New Roman" w:hAnsi="Times New Roman" w:cs="Times New Roman"/>
        </w:rPr>
        <w:t>Безопасность детских площадок</w:t>
      </w:r>
      <w:r>
        <w:rPr>
          <w:rFonts w:ascii="Times New Roman" w:hAnsi="Times New Roman" w:cs="Times New Roman"/>
        </w:rPr>
        <w:t xml:space="preserve"> </w:t>
      </w:r>
      <w:r w:rsidRPr="007A2080">
        <w:rPr>
          <w:rFonts w:ascii="Times New Roman" w:hAnsi="Times New Roman" w:cs="Times New Roman"/>
        </w:rPr>
        <w:t>ТР ЕАЭС 042/2017 Технический регламент Евразийского экономического союза "О безопасности оборудования для детских игровых площадок".</w:t>
      </w:r>
    </w:p>
    <w:p w14:paraId="7EC3ED79" w14:textId="77777777" w:rsidR="006E36C4" w:rsidRPr="007A2080" w:rsidRDefault="006E36C4" w:rsidP="007A2080">
      <w:pPr>
        <w:pStyle w:val="a5"/>
        <w:jc w:val="both"/>
        <w:rPr>
          <w:rFonts w:ascii="Times New Roman" w:hAnsi="Times New Roman" w:cs="Times New Roman"/>
        </w:rPr>
      </w:pPr>
    </w:p>
    <w:sectPr w:rsidR="006E36C4" w:rsidRPr="007A2080" w:rsidSect="006E36C4">
      <w:pgSz w:w="11906" w:h="16838"/>
      <w:pgMar w:top="426" w:right="282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A1"/>
    <w:rsid w:val="00201E75"/>
    <w:rsid w:val="00264628"/>
    <w:rsid w:val="00354D30"/>
    <w:rsid w:val="005C09CE"/>
    <w:rsid w:val="006E36C4"/>
    <w:rsid w:val="007A2080"/>
    <w:rsid w:val="007F7771"/>
    <w:rsid w:val="00B7616F"/>
    <w:rsid w:val="00D318B2"/>
    <w:rsid w:val="00D7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495B"/>
  <w15:chartTrackingRefBased/>
  <w15:docId w15:val="{121448B7-A723-4AB4-A7F2-3895FE3F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7A1"/>
  </w:style>
  <w:style w:type="paragraph" w:styleId="1">
    <w:name w:val="heading 1"/>
    <w:basedOn w:val="a"/>
    <w:link w:val="10"/>
    <w:uiPriority w:val="9"/>
    <w:qFormat/>
    <w:rsid w:val="005C0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7A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77A1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B7616F"/>
    <w:pPr>
      <w:spacing w:after="0" w:line="240" w:lineRule="auto"/>
    </w:pPr>
  </w:style>
  <w:style w:type="paragraph" w:customStyle="1" w:styleId="11">
    <w:name w:val="Без интервала1"/>
    <w:qFormat/>
    <w:rsid w:val="006E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C09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8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astochka-lip.com/catalog/brevno-balansir-trojno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2026-06-19T12:23:00Z</dcterms:created>
  <dcterms:modified xsi:type="dcterms:W3CDTF">2026-06-19T12:36:00Z</dcterms:modified>
</cp:coreProperties>
</file>